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210.06: Quorum</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Action by the Tri-County board regarding the affairs of the school district may be taken only when a quorum, a majority of the board members, is in attendance at the board meeting.  While in person participation is encouraged, board members may attend meetings either in person or electronically provided each member can hear and be heard in real time by all members present and the public. </w:t>
        <w:br w:type="textWrapping"/>
        <w:br w:type="textWrapping"/>
        <w:t xml:space="preserve">While board members are encouraged to attend board meetings, </w:t>
      </w:r>
      <w:r w:rsidDel="00000000" w:rsidR="00000000" w:rsidRPr="00000000">
        <w:rPr>
          <w:rFonts w:ascii="Lato" w:cs="Lato" w:eastAsia="Lato" w:hAnsi="Lato"/>
          <w:i w:val="1"/>
          <w:rtl w:val="0"/>
        </w:rPr>
        <w:t xml:space="preserve">3 </w:t>
      </w:r>
      <w:r w:rsidDel="00000000" w:rsidR="00000000" w:rsidRPr="00000000">
        <w:rPr>
          <w:rFonts w:ascii="Lato" w:cs="Lato" w:eastAsia="Lato" w:hAnsi="Lato"/>
          <w:rtl w:val="0"/>
        </w:rPr>
        <w:t xml:space="preserve">members will constitute a quorum and are a sufficient number to transact business of the school corporation.  The adjournment of a meeting may be executed without a quorum.</w:t>
        <w:br w:type="textWrapping"/>
        <w:br w:type="textWrapping"/>
        <w:t xml:space="preserve">An affirmative vote of a majority of the votes cast is sufficient to pass a motion or take action unless law or board policy requires a vote of a greater number.</w:t>
        <w:br w:type="textWrapping"/>
        <w:br w:type="textWrapping"/>
        <w:t xml:space="preserve">It is the responsibility of each board member to attend board meetings.</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21.5(1); 279.4.</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21.5</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Closed Session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279.4</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Powers and Duties-Quorum</w:t>
              </w:r>
            </w:hyperlink>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5.pdf" TargetMode="External"/><Relationship Id="rId8" Type="http://schemas.openxmlformats.org/officeDocument/2006/relationships/hyperlink" Target="https://www.legis.iowa.gov/docs/code/279.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qO+PkZ6eldHWotSfqqDDCu0kg==">CgMxLjAyCGguZ2pkZ3hzOAByITFVbG1zbnFsZUpuZk1MNVZqUVFOTjZpbTdKYzR6Yk83Xw==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2024-02-14T20:05:00Z</dcterms:created>
  <dc:creator>Linda Heisdorffer</dc:creator>
</cp:coreProperties>
</file>